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2685460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- </w:t>
      </w:r>
      <w:r w:rsidR="00A06091">
        <w:rPr>
          <w:rFonts w:ascii="Sylfaen" w:hAnsi="Sylfaen" w:cs="Sylfaen"/>
          <w:sz w:val="20"/>
          <w:lang w:val="ka-GE"/>
        </w:rPr>
        <w:t>შუახევი</w:t>
      </w:r>
      <w:r w:rsidR="00A72175">
        <w:rPr>
          <w:rFonts w:ascii="Sylfaen" w:hAnsi="Sylfaen" w:cs="Sylfaen"/>
          <w:sz w:val="20"/>
          <w:lang w:val="ka-GE"/>
        </w:rPr>
        <w:t>ს</w:t>
      </w:r>
      <w:r w:rsidR="00046DBE">
        <w:rPr>
          <w:rFonts w:ascii="Sylfaen" w:hAnsi="Sylfaen" w:cs="Sylfaen"/>
          <w:sz w:val="20"/>
          <w:lang w:val="ka-GE"/>
        </w:rPr>
        <w:t xml:space="preserve"> კლინიკაში </w:t>
      </w:r>
      <w:r w:rsidR="00E26205">
        <w:rPr>
          <w:rFonts w:ascii="Sylfaen" w:hAnsi="Sylfaen" w:cs="Sylfaen"/>
          <w:sz w:val="20"/>
          <w:lang w:val="ka-GE"/>
        </w:rPr>
        <w:t>სარემონტო-</w:t>
      </w:r>
      <w:r w:rsidR="00046DBE">
        <w:rPr>
          <w:rFonts w:ascii="Sylfaen" w:hAnsi="Sylfaen" w:cs="Sylfaen"/>
          <w:sz w:val="20"/>
          <w:lang w:val="ka-GE"/>
        </w:rPr>
        <w:t>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00AD99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>ხელშეკრულებას გააფორმებს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E999EC2" w:rsidR="00A92E91" w:rsidRPr="00110904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>პრეტენდ</w:t>
      </w:r>
      <w:r w:rsidRPr="00110904">
        <w:rPr>
          <w:rFonts w:ascii="Sylfaen" w:hAnsi="Sylfaen" w:cs="Sylfaen"/>
          <w:sz w:val="20"/>
          <w:lang w:val="ka-GE"/>
        </w:rPr>
        <w:t xml:space="preserve">ენტებმა სატენდერო წინადადება უნდა წარმოადგინონ არაუგვიანეს </w:t>
      </w:r>
      <w:r w:rsidR="00917048" w:rsidRPr="00110904">
        <w:rPr>
          <w:rFonts w:ascii="Sylfaen" w:hAnsi="Sylfaen" w:cs="Sylfaen"/>
          <w:sz w:val="20"/>
          <w:lang w:val="ka-GE"/>
        </w:rPr>
        <w:t>20</w:t>
      </w:r>
      <w:r w:rsidR="0044234E" w:rsidRPr="00110904">
        <w:rPr>
          <w:rFonts w:ascii="Sylfaen" w:hAnsi="Sylfaen" w:cs="Sylfaen"/>
          <w:sz w:val="20"/>
          <w:lang w:val="en-US"/>
        </w:rPr>
        <w:t>2</w:t>
      </w:r>
      <w:r w:rsidR="00C579A1" w:rsidRPr="00110904">
        <w:rPr>
          <w:rFonts w:ascii="Sylfaen" w:hAnsi="Sylfaen" w:cs="Sylfaen"/>
          <w:sz w:val="20"/>
          <w:lang w:val="ka-GE"/>
        </w:rPr>
        <w:t>1</w:t>
      </w:r>
      <w:r w:rsidRPr="00110904">
        <w:rPr>
          <w:rFonts w:ascii="Sylfaen" w:hAnsi="Sylfaen" w:cs="Sylfaen"/>
          <w:sz w:val="20"/>
          <w:lang w:val="ka-GE"/>
        </w:rPr>
        <w:t xml:space="preserve"> წლის </w:t>
      </w:r>
      <w:r w:rsidR="004A154F" w:rsidRPr="00110904">
        <w:rPr>
          <w:rFonts w:ascii="Sylfaen" w:hAnsi="Sylfaen" w:cs="Sylfaen"/>
          <w:sz w:val="20"/>
          <w:lang w:val="ka-GE"/>
        </w:rPr>
        <w:t xml:space="preserve"> </w:t>
      </w:r>
      <w:r w:rsidR="004A178D" w:rsidRPr="00110904">
        <w:rPr>
          <w:rFonts w:ascii="Sylfaen" w:hAnsi="Sylfaen" w:cs="Sylfaen"/>
          <w:sz w:val="20"/>
          <w:lang w:val="ka-GE"/>
        </w:rPr>
        <w:t>2</w:t>
      </w:r>
      <w:r w:rsidR="00DB3687">
        <w:rPr>
          <w:rFonts w:ascii="Sylfaen" w:hAnsi="Sylfaen" w:cs="Sylfaen"/>
          <w:sz w:val="20"/>
          <w:lang w:val="ka-GE"/>
        </w:rPr>
        <w:t>7</w:t>
      </w:r>
      <w:r w:rsidR="00DA4FE2">
        <w:rPr>
          <w:rFonts w:ascii="Sylfaen" w:hAnsi="Sylfaen" w:cs="Sylfaen"/>
          <w:sz w:val="20"/>
          <w:lang w:val="ka-GE"/>
        </w:rPr>
        <w:t xml:space="preserve"> </w:t>
      </w:r>
      <w:r w:rsidR="00C579A1" w:rsidRPr="00110904">
        <w:rPr>
          <w:rFonts w:ascii="Sylfaen" w:hAnsi="Sylfaen" w:cs="Sylfaen"/>
          <w:sz w:val="20"/>
          <w:lang w:val="ka-GE"/>
        </w:rPr>
        <w:t>აპრილის</w:t>
      </w:r>
      <w:r w:rsidR="0044234E" w:rsidRPr="00110904">
        <w:rPr>
          <w:rFonts w:ascii="Sylfaen" w:hAnsi="Sylfaen" w:cs="Sylfaen"/>
          <w:sz w:val="20"/>
          <w:lang w:val="ka-GE"/>
        </w:rPr>
        <w:t xml:space="preserve"> </w:t>
      </w:r>
      <w:r w:rsidR="00185FAE" w:rsidRPr="00110904">
        <w:rPr>
          <w:rFonts w:ascii="Sylfaen" w:hAnsi="Sylfaen" w:cs="Sylfaen"/>
          <w:sz w:val="20"/>
          <w:lang w:val="ka-GE"/>
        </w:rPr>
        <w:t>1</w:t>
      </w:r>
      <w:r w:rsidR="00DB3687">
        <w:rPr>
          <w:rFonts w:ascii="Sylfaen" w:hAnsi="Sylfaen" w:cs="Sylfaen"/>
          <w:sz w:val="20"/>
          <w:lang w:val="ka-GE"/>
        </w:rPr>
        <w:t>8</w:t>
      </w:r>
      <w:r w:rsidRPr="00110904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A06091" w:rsidRPr="00A06091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02B53E2" w:rsidR="001213AD" w:rsidRPr="00110904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10904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A178D" w:rsidRPr="00110904">
              <w:rPr>
                <w:rFonts w:ascii="Sylfaen" w:hAnsi="Sylfaen" w:cs="Sylfaen"/>
                <w:sz w:val="20"/>
                <w:lang w:val="ka-GE"/>
              </w:rPr>
              <w:t>16</w:t>
            </w:r>
            <w:r w:rsidR="00056F1D" w:rsidRPr="00110904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110904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110904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 w:rsidRPr="00110904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110904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A06091" w:rsidRPr="00A06091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363FA359" w:rsidR="0044234E" w:rsidRPr="00110904" w:rsidRDefault="004A178D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10904">
              <w:rPr>
                <w:rFonts w:ascii="Sylfaen" w:hAnsi="Sylfaen" w:cs="Sylfaen"/>
                <w:sz w:val="20"/>
                <w:lang w:val="ka-GE"/>
              </w:rPr>
              <w:t>2</w:t>
            </w:r>
            <w:r w:rsidR="00DB3687">
              <w:rPr>
                <w:rFonts w:ascii="Sylfaen" w:hAnsi="Sylfaen" w:cs="Sylfaen"/>
                <w:sz w:val="20"/>
                <w:lang w:val="ka-GE"/>
              </w:rPr>
              <w:t>7</w:t>
            </w:r>
            <w:r w:rsidR="00DA4FE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110904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110904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 w:rsidRPr="00110904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110904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A06091" w:rsidRPr="00A06091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35EDFF05" w:rsidR="001213AD" w:rsidRPr="00110904" w:rsidRDefault="004A178D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10904">
              <w:rPr>
                <w:rFonts w:ascii="Sylfaen" w:hAnsi="Sylfaen" w:cs="Sylfaen"/>
                <w:sz w:val="20"/>
                <w:lang w:val="ka-GE"/>
              </w:rPr>
              <w:t>28</w:t>
            </w:r>
            <w:r w:rsidR="004A154F" w:rsidRPr="00110904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110904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110904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110904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110904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110904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A06091" w:rsidRPr="00A06091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6964F9CA" w:rsidR="001213AD" w:rsidRPr="00110904" w:rsidRDefault="004A154F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10904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9D1E71" w:rsidRPr="00110904">
              <w:rPr>
                <w:rFonts w:ascii="Sylfaen" w:hAnsi="Sylfaen" w:cs="Sylfaen"/>
                <w:sz w:val="20"/>
                <w:lang w:val="ka-GE"/>
              </w:rPr>
              <w:t xml:space="preserve">3 </w:t>
            </w:r>
            <w:r w:rsidR="004A178D" w:rsidRPr="00110904">
              <w:rPr>
                <w:rFonts w:ascii="Sylfaen" w:hAnsi="Sylfaen" w:cs="Sylfaen"/>
                <w:sz w:val="20"/>
                <w:lang w:val="ka-GE"/>
              </w:rPr>
              <w:t>მაისი</w:t>
            </w:r>
            <w:r w:rsidR="00C579A1" w:rsidRPr="00110904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110904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110904">
              <w:rPr>
                <w:rFonts w:ascii="Sylfaen" w:hAnsi="Sylfaen" w:cs="Sylfaen"/>
                <w:sz w:val="20"/>
                <w:lang w:val="ka-GE"/>
              </w:rPr>
              <w:t>2</w:t>
            </w:r>
            <w:r w:rsidRPr="00110904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110904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163AAD11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A06091">
        <w:rPr>
          <w:rFonts w:ascii="Sylfaen" w:hAnsi="Sylfaen" w:cs="Sylfaen"/>
          <w:sz w:val="20"/>
          <w:lang w:val="ka-GE"/>
        </w:rPr>
        <w:t>რაიონი შუახევი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A06091" w:rsidRPr="00A06091">
        <w:rPr>
          <w:rFonts w:ascii="Sylfaen" w:hAnsi="Sylfaen" w:cs="Sylfaen"/>
          <w:sz w:val="20"/>
          <w:lang w:val="ka-GE"/>
        </w:rPr>
        <w:t xml:space="preserve"> დაბა შუახევი, რუსთაველის ქუჩა , N 32</w:t>
      </w:r>
      <w:r w:rsidR="008E2CEF">
        <w:rPr>
          <w:rFonts w:ascii="Sylfaen" w:hAnsi="Sylfaen" w:cs="Sylfaen"/>
          <w:szCs w:val="22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მდებარე</w:t>
      </w:r>
      <w:r w:rsidR="007B2D69" w:rsidRPr="008E2CEF">
        <w:rPr>
          <w:rFonts w:ascii="Sylfaen" w:hAnsi="Sylfaen" w:cs="Sylfaen"/>
          <w:sz w:val="20"/>
          <w:lang w:val="ka-GE"/>
        </w:rPr>
        <w:t xml:space="preserve">  </w:t>
      </w:r>
      <w:r w:rsidR="00A06091">
        <w:rPr>
          <w:rFonts w:ascii="Sylfaen" w:hAnsi="Sylfaen" w:cs="Sylfaen"/>
          <w:sz w:val="20"/>
          <w:lang w:val="ka-GE"/>
        </w:rPr>
        <w:t>შუახევის</w:t>
      </w:r>
      <w:r w:rsidR="00175836" w:rsidRPr="008E2CEF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46B60E66" w14:textId="66198441" w:rsidR="006010B3" w:rsidRPr="00C7762A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#7.1</w:t>
      </w:r>
      <w:r w:rsidRPr="00F92799">
        <w:rPr>
          <w:rFonts w:ascii="Sylfaen" w:hAnsi="Sylfaen" w:cs="Sylfaen"/>
          <w:sz w:val="20"/>
          <w:lang w:val="ka-GE"/>
        </w:rPr>
        <w:t xml:space="preserve"> </w:t>
      </w:r>
      <w:r w:rsidR="00C579A1">
        <w:rPr>
          <w:rFonts w:ascii="Sylfaen" w:hAnsi="Sylfaen" w:cs="Sylfaen"/>
          <w:sz w:val="20"/>
          <w:lang w:val="ka-GE"/>
        </w:rPr>
        <w:t xml:space="preserve">არქიტექტურული ნაწილი, </w:t>
      </w:r>
      <w:r w:rsidR="00A72175">
        <w:rPr>
          <w:rFonts w:ascii="Sylfaen" w:hAnsi="Sylfaen" w:cs="Sylfaen"/>
          <w:sz w:val="20"/>
          <w:lang w:val="ka-GE"/>
        </w:rPr>
        <w:t>ტექნოლოგიური ნაწილი</w:t>
      </w:r>
    </w:p>
    <w:p w14:paraId="515332D3" w14:textId="260BF29B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>2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F92799">
        <w:rPr>
          <w:rFonts w:ascii="Sylfaen" w:hAnsi="Sylfaen" w:cs="Sylfaen"/>
          <w:sz w:val="20"/>
          <w:lang w:val="ka-GE"/>
        </w:rPr>
        <w:t>ელ. ტექნიკური ნაწილი</w:t>
      </w:r>
    </w:p>
    <w:p w14:paraId="7FD1A556" w14:textId="5AC1CA1A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3 </w:t>
      </w:r>
      <w:r w:rsidRPr="00F92799">
        <w:rPr>
          <w:rFonts w:ascii="Sylfaen" w:hAnsi="Sylfaen" w:cs="Sylfaen"/>
          <w:sz w:val="20"/>
          <w:lang w:val="ka-GE"/>
        </w:rPr>
        <w:t>სუსტი დენი, კომპ. ქსელი</w:t>
      </w:r>
    </w:p>
    <w:p w14:paraId="28C0C888" w14:textId="57732448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4 </w:t>
      </w:r>
      <w:r w:rsidRPr="00F92799">
        <w:rPr>
          <w:rFonts w:ascii="Sylfaen" w:hAnsi="Sylfaen" w:cs="Sylfaen"/>
          <w:sz w:val="20"/>
          <w:lang w:val="ka-GE"/>
        </w:rPr>
        <w:t>სანტექნიკური ნაწილი</w:t>
      </w:r>
    </w:p>
    <w:p w14:paraId="06D9DFA7" w14:textId="79876F05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>5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F92799">
        <w:rPr>
          <w:rFonts w:ascii="Sylfaen" w:hAnsi="Sylfaen" w:cs="Sylfaen"/>
          <w:sz w:val="20"/>
          <w:lang w:val="ka-GE"/>
        </w:rPr>
        <w:t>სახანძრო სიგნალიზაცია</w:t>
      </w:r>
    </w:p>
    <w:p w14:paraId="1C60A484" w14:textId="34230032" w:rsidR="006010B3" w:rsidRDefault="006010B3" w:rsidP="00254255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6 </w:t>
      </w:r>
      <w:r w:rsidRPr="00D5252C">
        <w:rPr>
          <w:rFonts w:ascii="Sylfaen" w:hAnsi="Sylfaen" w:cs="Sylfaen"/>
          <w:sz w:val="20"/>
          <w:lang w:val="ka-GE"/>
        </w:rPr>
        <w:t xml:space="preserve">HVAC 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277ED711" w:rsidR="00187D40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45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ორმოცდახუთი)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480D6345" w14:textId="77777777" w:rsidR="004A178D" w:rsidRPr="00254255" w:rsidRDefault="004A178D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bookmarkStart w:id="3" w:name="_GoBack"/>
      <w:bookmarkEnd w:id="3"/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0B8C721E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4A178D">
        <w:rPr>
          <w:rFonts w:ascii="Sylfaen" w:hAnsi="Sylfaen" w:cs="Sylfaen"/>
          <w:sz w:val="20"/>
          <w:lang w:val="ka-GE"/>
        </w:rPr>
        <w:t>2</w:t>
      </w:r>
      <w:r w:rsidR="00DB3687">
        <w:rPr>
          <w:rFonts w:ascii="Sylfaen" w:hAnsi="Sylfaen" w:cs="Sylfaen"/>
          <w:sz w:val="20"/>
          <w:lang w:val="ka-GE"/>
        </w:rPr>
        <w:t>7</w:t>
      </w:r>
      <w:r w:rsidR="00EF7F43">
        <w:rPr>
          <w:rFonts w:ascii="Sylfaen" w:hAnsi="Sylfaen" w:cs="Sylfaen"/>
          <w:sz w:val="20"/>
          <w:lang w:val="ka-GE"/>
        </w:rPr>
        <w:t xml:space="preserve"> </w:t>
      </w:r>
      <w:r w:rsidR="00C579A1">
        <w:rPr>
          <w:rFonts w:ascii="Sylfaen" w:hAnsi="Sylfaen" w:cs="Sylfaen"/>
          <w:sz w:val="20"/>
          <w:lang w:val="ka-GE"/>
        </w:rPr>
        <w:t>აპრილის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DB3687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BCEC" w14:textId="77777777" w:rsidR="00F478C9" w:rsidRDefault="00F478C9">
      <w:r>
        <w:separator/>
      </w:r>
    </w:p>
  </w:endnote>
  <w:endnote w:type="continuationSeparator" w:id="0">
    <w:p w14:paraId="54397E8F" w14:textId="77777777" w:rsidR="00F478C9" w:rsidRDefault="00F4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B3687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B3687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1AFD" w14:textId="77777777" w:rsidR="00F478C9" w:rsidRDefault="00F478C9">
      <w:r>
        <w:separator/>
      </w:r>
    </w:p>
  </w:footnote>
  <w:footnote w:type="continuationSeparator" w:id="0">
    <w:p w14:paraId="04798889" w14:textId="77777777" w:rsidR="00F478C9" w:rsidRDefault="00F47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7C7EB52C" w14:textId="02AE8A32" w:rsidR="00046DBE" w:rsidRPr="00A06091" w:rsidRDefault="006B056D" w:rsidP="00046DBE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  <w:r w:rsidR="00A72175"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A06091">
            <w:rPr>
              <w:rFonts w:ascii="Sylfaen" w:hAnsi="Sylfaen" w:cs="Sylfaen"/>
              <w:b/>
              <w:sz w:val="20"/>
              <w:lang w:val="ka-GE"/>
            </w:rPr>
            <w:t>შუახევის</w:t>
          </w:r>
          <w:r w:rsidR="00A72175">
            <w:rPr>
              <w:rFonts w:ascii="Sylfaen" w:hAnsi="Sylfaen" w:cs="Sylfaen"/>
              <w:b/>
              <w:sz w:val="20"/>
              <w:lang w:val="ka-GE"/>
            </w:rPr>
            <w:t xml:space="preserve"> კლ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>ი</w:t>
          </w:r>
          <w:r w:rsidR="00A72175">
            <w:rPr>
              <w:rFonts w:ascii="Sylfaen" w:hAnsi="Sylfaen" w:cs="Sylfaen"/>
              <w:b/>
              <w:sz w:val="20"/>
              <w:lang w:val="ka-GE"/>
            </w:rPr>
            <w:t>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109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5599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178D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099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6789D"/>
    <w:rsid w:val="00880AF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1E71"/>
    <w:rsid w:val="009D4C4E"/>
    <w:rsid w:val="009E2912"/>
    <w:rsid w:val="009E38BF"/>
    <w:rsid w:val="009E7438"/>
    <w:rsid w:val="009F0DC0"/>
    <w:rsid w:val="009F18B8"/>
    <w:rsid w:val="009F5BE2"/>
    <w:rsid w:val="009F70C4"/>
    <w:rsid w:val="00A06091"/>
    <w:rsid w:val="00A257C7"/>
    <w:rsid w:val="00A372C3"/>
    <w:rsid w:val="00A427D8"/>
    <w:rsid w:val="00A466DF"/>
    <w:rsid w:val="00A63FDD"/>
    <w:rsid w:val="00A66AC0"/>
    <w:rsid w:val="00A7012C"/>
    <w:rsid w:val="00A70E81"/>
    <w:rsid w:val="00A72175"/>
    <w:rsid w:val="00A73607"/>
    <w:rsid w:val="00A85F8C"/>
    <w:rsid w:val="00A92E91"/>
    <w:rsid w:val="00AA07A9"/>
    <w:rsid w:val="00AA10B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4FE2"/>
    <w:rsid w:val="00DA7CCE"/>
    <w:rsid w:val="00DB35D6"/>
    <w:rsid w:val="00DB3687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6205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096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478C9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F8FF-DA77-4C4B-9BF8-0BB7EEC2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1409</Words>
  <Characters>8032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59</cp:revision>
  <cp:lastPrinted>2018-06-11T07:22:00Z</cp:lastPrinted>
  <dcterms:created xsi:type="dcterms:W3CDTF">2019-03-07T21:54:00Z</dcterms:created>
  <dcterms:modified xsi:type="dcterms:W3CDTF">2021-04-26T07:53:00Z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